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南昌都市圈城际公交服务质量考核办法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CESI楷体-GB2312" w:hAnsi="CESI楷体-GB2312" w:eastAsia="CESI楷体-GB2312" w:cs="CESI楷体-GB2312"/>
          <w:b/>
          <w:bCs/>
          <w:sz w:val="32"/>
          <w:szCs w:val="32"/>
          <w:lang w:eastAsia="zh-CN"/>
        </w:rPr>
      </w:pPr>
      <w:r>
        <w:rPr>
          <w:rFonts w:hint="eastAsia" w:ascii="CESI楷体-GB2312" w:hAnsi="CESI楷体-GB2312" w:eastAsia="CESI楷体-GB2312" w:cs="CESI楷体-GB2312"/>
          <w:b/>
          <w:bCs/>
          <w:sz w:val="32"/>
          <w:szCs w:val="32"/>
          <w:lang w:eastAsia="zh-CN"/>
        </w:rPr>
        <w:t>（征求意见稿）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CESI黑体-GB2312" w:hAnsi="CESI黑体-GB2312" w:eastAsia="CESI黑体-GB2312" w:cs="CESI黑体-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CESI黑体-GB2312" w:hAnsi="CESI黑体-GB2312" w:eastAsia="CESI黑体-GB2312" w:cs="CESI黑体-GB2312"/>
          <w:color w:val="auto"/>
          <w:sz w:val="32"/>
          <w:szCs w:val="32"/>
        </w:rPr>
        <w:t>第一条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规范南昌都市圈城际公交运营企业经营行为，提升城际公交服务质量，促进行业健康发展，保障乘客合法权益，根据《江西省道路运输条例》、《关于印发〈南昌都市圈城际公交客运服务成本规制实施标准〉的通知》等规定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特制定本考核办法。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CESI黑体-GB2312" w:hAnsi="CESI黑体-GB2312" w:eastAsia="CESI黑体-GB2312" w:cs="CESI黑体-GB2312"/>
          <w:color w:val="auto"/>
          <w:sz w:val="32"/>
          <w:szCs w:val="32"/>
        </w:rPr>
        <w:t xml:space="preserve">第二条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本办法适用于对南昌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都市圈城际公交运营企业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服务质量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考核。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CESI黑体-GB2312" w:hAnsi="CESI黑体-GB2312" w:eastAsia="CESI黑体-GB2312" w:cs="CESI黑体-GB2312"/>
          <w:color w:val="auto"/>
          <w:sz w:val="32"/>
          <w:szCs w:val="32"/>
        </w:rPr>
        <w:t xml:space="preserve">第三条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南昌都市圈城际公交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服务质量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考核应当遵循公开、公平、公正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原则。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CESI黑体-GB2312" w:hAnsi="CESI黑体-GB2312" w:eastAsia="CESI黑体-GB2312" w:cs="CESI黑体-GB2312"/>
          <w:color w:val="auto"/>
          <w:sz w:val="32"/>
          <w:szCs w:val="32"/>
        </w:rPr>
        <w:t xml:space="preserve">第四条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考核工作由南昌市交通运输局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和相关受益方设区市交通运输局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负责实施。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CESI黑体-GB2312" w:hAnsi="CESI黑体-GB2312" w:eastAsia="CESI黑体-GB2312" w:cs="CESI黑体-GB2312"/>
          <w:color w:val="auto"/>
          <w:sz w:val="32"/>
          <w:szCs w:val="32"/>
        </w:rPr>
        <w:t xml:space="preserve">第五条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考核内容包括：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企业管理、经营行为、安全生产、服务质量、加分项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等方面。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CESI黑体-GB2312" w:hAnsi="CESI黑体-GB2312" w:eastAsia="CESI黑体-GB2312" w:cs="CESI黑体-GB2312"/>
          <w:color w:val="auto"/>
          <w:sz w:val="32"/>
          <w:szCs w:val="32"/>
        </w:rPr>
        <w:t xml:space="preserve">第六条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考核基准分值为100分，加分项10分。考核等级分为优秀（90分及以上）、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合格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（80-89分）、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基本合格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（70-79分）、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不合格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（70分以下）。具体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评分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标准见附件。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CESI黑体-GB2312" w:hAnsi="CESI黑体-GB2312" w:eastAsia="CESI黑体-GB2312" w:cs="CESI黑体-GB2312"/>
          <w:color w:val="auto"/>
          <w:sz w:val="32"/>
          <w:szCs w:val="32"/>
        </w:rPr>
        <w:t>第七条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考核实行年度考核，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考核周期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为每年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1月1日至12月31日，运营不满一个年度的按实际运营时间考核。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CESI黑体-GB2312" w:hAnsi="CESI黑体-GB2312" w:eastAsia="CESI黑体-GB2312" w:cs="CESI黑体-GB2312"/>
          <w:color w:val="auto"/>
          <w:sz w:val="32"/>
          <w:szCs w:val="32"/>
        </w:rPr>
        <w:t>第八条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每年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31日前，按照城际公交运营企业注册登记设区市交通运输局发起的原则，由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南昌市交通运输局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会同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相关受益方设区市交通运输局，按照评分标准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共同对城际公交运营企业上一年度运营情况开展服务质量考核工作。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CESI黑体-GB2312" w:hAnsi="CESI黑体-GB2312" w:eastAsia="CESI黑体-GB2312" w:cs="CESI黑体-GB2312"/>
          <w:color w:val="auto"/>
          <w:sz w:val="32"/>
          <w:szCs w:val="32"/>
        </w:rPr>
        <w:t xml:space="preserve">第九条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考核结果作为城际公交运营企业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运营补贴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费用结算的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重要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依据，年度考核结果90分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以上时，补贴资金全部兑现，90分以下每低1分扣除5%的补贴资金，70分以下不安排补贴资金。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CESI黑体-GB2312" w:hAnsi="CESI黑体-GB2312" w:eastAsia="CESI黑体-GB2312" w:cs="CESI黑体-GB2312"/>
          <w:color w:val="auto"/>
          <w:sz w:val="32"/>
          <w:szCs w:val="32"/>
        </w:rPr>
        <w:t>第</w:t>
      </w:r>
      <w:r>
        <w:rPr>
          <w:rFonts w:hint="eastAsia" w:ascii="CESI黑体-GB2312" w:hAnsi="CESI黑体-GB2312" w:eastAsia="CESI黑体-GB2312" w:cs="CESI黑体-GB2312"/>
          <w:color w:val="auto"/>
          <w:sz w:val="32"/>
          <w:szCs w:val="32"/>
          <w:lang w:eastAsia="zh-CN"/>
        </w:rPr>
        <w:t>十</w:t>
      </w:r>
      <w:r>
        <w:rPr>
          <w:rFonts w:hint="eastAsia" w:ascii="CESI黑体-GB2312" w:hAnsi="CESI黑体-GB2312" w:eastAsia="CESI黑体-GB2312" w:cs="CESI黑体-GB2312"/>
          <w:color w:val="auto"/>
          <w:sz w:val="32"/>
          <w:szCs w:val="32"/>
        </w:rPr>
        <w:t>条</w:t>
      </w:r>
      <w:r>
        <w:rPr>
          <w:rFonts w:hint="eastAsia" w:ascii="CESI黑体-GB2312" w:hAnsi="CESI黑体-GB2312" w:eastAsia="CESI黑体-GB2312" w:cs="CESI黑体-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连续两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考核等级为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不合格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或者由于服务质量问题被省、市主流媒体曝光产生恶劣社会影响的，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责令退出市场，更换运营企业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CESI黑体-GB2312" w:hAnsi="CESI黑体-GB2312" w:eastAsia="CESI黑体-GB2312" w:cs="CESI黑体-GB2312"/>
          <w:color w:val="auto"/>
          <w:sz w:val="32"/>
          <w:szCs w:val="32"/>
        </w:rPr>
        <w:t xml:space="preserve">第十条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本办法由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南昌市交通运输局和相关受益方设区市交通运输局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负责解释。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CESI黑体-GB2312" w:hAnsi="CESI黑体-GB2312" w:eastAsia="CESI黑体-GB2312" w:cs="CESI黑体-GB2312"/>
          <w:color w:val="auto"/>
          <w:sz w:val="32"/>
          <w:szCs w:val="32"/>
        </w:rPr>
        <w:t xml:space="preserve">第十一条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本办法自发布之日起施行。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附件：《南昌都市圈城际公交服务质量考核评分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标准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>
      <w:pPr>
        <w:bidi w:val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-7"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-7"/>
          <w:sz w:val="40"/>
          <w:szCs w:val="40"/>
        </w:rPr>
        <w:t>南昌都市圈城际公交服务质量考核评分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-7"/>
          <w:sz w:val="40"/>
          <w:szCs w:val="40"/>
          <w:lang w:eastAsia="zh-CN"/>
        </w:rPr>
        <w:t>标准</w:t>
      </w:r>
    </w:p>
    <w:p>
      <w:pPr>
        <w:bidi w:val="0"/>
        <w:rPr>
          <w:rFonts w:hint="eastAsia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6"/>
        <w:gridCol w:w="6855"/>
        <w:gridCol w:w="1530"/>
        <w:gridCol w:w="1786"/>
        <w:gridCol w:w="24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  <w:t>项目</w:t>
            </w:r>
          </w:p>
        </w:tc>
        <w:tc>
          <w:tcPr>
            <w:tcW w:w="68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  <w:t>考核指标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  <w:t>分值</w:t>
            </w:r>
          </w:p>
        </w:tc>
        <w:tc>
          <w:tcPr>
            <w:tcW w:w="17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  <w:t>扣分标准</w:t>
            </w:r>
          </w:p>
        </w:tc>
        <w:tc>
          <w:tcPr>
            <w:tcW w:w="24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  <w:t>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  <w:t>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  <w:t>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  <w:t>理</w:t>
            </w:r>
          </w:p>
        </w:tc>
        <w:tc>
          <w:tcPr>
            <w:tcW w:w="68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未建立安全生产、服务质量管理、应急预案、车辆管理、驾驶员管理等制度。</w:t>
            </w:r>
          </w:p>
        </w:tc>
        <w:tc>
          <w:tcPr>
            <w:tcW w:w="153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20分</w:t>
            </w:r>
          </w:p>
        </w:tc>
        <w:tc>
          <w:tcPr>
            <w:tcW w:w="17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1分/项</w:t>
            </w:r>
          </w:p>
        </w:tc>
        <w:tc>
          <w:tcPr>
            <w:tcW w:w="245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本项目扣分不设上限，直至扣完为止。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68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聘用无从业资格的驾驶员从事经营。</w:t>
            </w:r>
          </w:p>
        </w:tc>
        <w:tc>
          <w:tcPr>
            <w:tcW w:w="15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7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10分/人</w:t>
            </w:r>
          </w:p>
        </w:tc>
        <w:tc>
          <w:tcPr>
            <w:tcW w:w="24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68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未与驾驶员签订劳动合同并依法给予劳动保障。</w:t>
            </w:r>
          </w:p>
        </w:tc>
        <w:tc>
          <w:tcPr>
            <w:tcW w:w="15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7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1分/人</w:t>
            </w:r>
          </w:p>
        </w:tc>
        <w:tc>
          <w:tcPr>
            <w:tcW w:w="24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68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未按规定建立车辆技术档案和驾驶员信息档案，或档案管理不规范、不齐全。</w:t>
            </w:r>
          </w:p>
        </w:tc>
        <w:tc>
          <w:tcPr>
            <w:tcW w:w="15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7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1分/档</w:t>
            </w:r>
          </w:p>
        </w:tc>
        <w:tc>
          <w:tcPr>
            <w:tcW w:w="24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68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仿宋_GB2312" w:cs="仿宋_GB2312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未按行业管理部门要求上报信息和资料。</w:t>
            </w:r>
          </w:p>
        </w:tc>
        <w:tc>
          <w:tcPr>
            <w:tcW w:w="15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7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1分/次</w:t>
            </w:r>
          </w:p>
        </w:tc>
        <w:tc>
          <w:tcPr>
            <w:tcW w:w="24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  <w:t>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  <w:t>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  <w:t>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ESI黑体-GB2312" w:hAnsi="CESI黑体-GB2312" w:eastAsia="CESI黑体-GB2312" w:cs="CESI黑体-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  <w:t>为</w:t>
            </w:r>
          </w:p>
        </w:tc>
        <w:tc>
          <w:tcPr>
            <w:tcW w:w="68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使用无道路运输证的车辆从事营运。</w:t>
            </w:r>
          </w:p>
        </w:tc>
        <w:tc>
          <w:tcPr>
            <w:tcW w:w="153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30分</w:t>
            </w:r>
          </w:p>
        </w:tc>
        <w:tc>
          <w:tcPr>
            <w:tcW w:w="17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10分/辆/次</w:t>
            </w:r>
          </w:p>
        </w:tc>
        <w:tc>
          <w:tcPr>
            <w:tcW w:w="245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本项目扣分不设上限，直至扣完为止。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0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68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不按批准的站点停靠，或不按规定的线路、公布的班次行驶的。</w:t>
            </w:r>
          </w:p>
        </w:tc>
        <w:tc>
          <w:tcPr>
            <w:tcW w:w="15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7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分/辆/次</w:t>
            </w:r>
          </w:p>
        </w:tc>
        <w:tc>
          <w:tcPr>
            <w:tcW w:w="24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30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ESI黑体-GB2312" w:hAnsi="CESI黑体-GB2312" w:eastAsia="CESI黑体-GB2312" w:cs="CESI黑体-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68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不按规定投保承运人责任险。</w:t>
            </w:r>
          </w:p>
        </w:tc>
        <w:tc>
          <w:tcPr>
            <w:tcW w:w="15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7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5分/次</w:t>
            </w:r>
          </w:p>
        </w:tc>
        <w:tc>
          <w:tcPr>
            <w:tcW w:w="24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ESI黑体-GB2312" w:hAnsi="CESI黑体-GB2312" w:eastAsia="CESI黑体-GB2312" w:cs="CESI黑体-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68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擅自改装或使用改装车辆的。</w:t>
            </w:r>
          </w:p>
        </w:tc>
        <w:tc>
          <w:tcPr>
            <w:tcW w:w="15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7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5分/次</w:t>
            </w:r>
          </w:p>
        </w:tc>
        <w:tc>
          <w:tcPr>
            <w:tcW w:w="24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ESI黑体-GB2312" w:hAnsi="CESI黑体-GB2312" w:eastAsia="CESI黑体-GB2312" w:cs="CESI黑体-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68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未报告原许可机关擅自暂停、终止部分或全部经营的。</w:t>
            </w:r>
          </w:p>
        </w:tc>
        <w:tc>
          <w:tcPr>
            <w:tcW w:w="15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7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30分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/次</w:t>
            </w:r>
          </w:p>
        </w:tc>
        <w:tc>
          <w:tcPr>
            <w:tcW w:w="24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130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  <w:t>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  <w:t>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  <w:t>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ESI黑体-GB2312" w:hAnsi="CESI黑体-GB2312" w:eastAsia="CESI黑体-GB2312" w:cs="CESI黑体-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  <w:t>产</w:t>
            </w:r>
          </w:p>
        </w:tc>
        <w:tc>
          <w:tcPr>
            <w:tcW w:w="68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安全员未持证上岗。</w:t>
            </w:r>
          </w:p>
        </w:tc>
        <w:tc>
          <w:tcPr>
            <w:tcW w:w="153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30分</w:t>
            </w:r>
          </w:p>
        </w:tc>
        <w:tc>
          <w:tcPr>
            <w:tcW w:w="17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1分/人</w:t>
            </w:r>
          </w:p>
        </w:tc>
        <w:tc>
          <w:tcPr>
            <w:tcW w:w="245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1、责任事故扣分采用事故基准分*事故责任系数的计算方法，较大事故基准分为20分，一般事故基准分10分，事故责任系数全责为1.0，主责为0.75，同责为0.5，次责为0.25，无责为0。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2、交通违法行为以交警交通违法通报或交通处罚通知单为准。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本项目扣分不设上限，直至扣完为止。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130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ESI黑体-GB2312" w:hAnsi="CESI黑体-GB2312" w:eastAsia="CESI黑体-GB2312" w:cs="CESI黑体-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68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车辆未按规定安装卫星定位装置并有效应用的。</w:t>
            </w:r>
          </w:p>
        </w:tc>
        <w:tc>
          <w:tcPr>
            <w:tcW w:w="15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7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5分/次</w:t>
            </w:r>
          </w:p>
        </w:tc>
        <w:tc>
          <w:tcPr>
            <w:tcW w:w="24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  <w:jc w:val="center"/>
        </w:trPr>
        <w:tc>
          <w:tcPr>
            <w:tcW w:w="130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ESI黑体-GB2312" w:hAnsi="CESI黑体-GB2312" w:eastAsia="CESI黑体-GB2312" w:cs="CESI黑体-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68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企业所属车辆发生重特大以下道路运输安全责任事故。</w:t>
            </w:r>
          </w:p>
        </w:tc>
        <w:tc>
          <w:tcPr>
            <w:tcW w:w="15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7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见备注</w:t>
            </w:r>
          </w:p>
        </w:tc>
        <w:tc>
          <w:tcPr>
            <w:tcW w:w="24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  <w:jc w:val="center"/>
        </w:trPr>
        <w:tc>
          <w:tcPr>
            <w:tcW w:w="130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68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车辆发生超速20%及以上或超员20%及以上的交通违法行为。</w:t>
            </w:r>
          </w:p>
        </w:tc>
        <w:tc>
          <w:tcPr>
            <w:tcW w:w="15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7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分/辆/次</w:t>
            </w:r>
          </w:p>
        </w:tc>
        <w:tc>
          <w:tcPr>
            <w:tcW w:w="24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130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ESI黑体-GB2312" w:hAnsi="CESI黑体-GB2312" w:eastAsia="CESI黑体-GB2312" w:cs="CESI黑体-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68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车辆发生超速10%以上、超员20%以下的交通违法行为。</w:t>
            </w:r>
          </w:p>
        </w:tc>
        <w:tc>
          <w:tcPr>
            <w:tcW w:w="15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7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2.5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分/辆/次</w:t>
            </w:r>
          </w:p>
        </w:tc>
        <w:tc>
          <w:tcPr>
            <w:tcW w:w="24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130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ESI黑体-GB2312" w:hAnsi="CESI黑体-GB2312" w:eastAsia="CESI黑体-GB2312" w:cs="CESI黑体-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68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未按规定每月对驾驶员进行统一培训并统一考核。</w:t>
            </w:r>
          </w:p>
        </w:tc>
        <w:tc>
          <w:tcPr>
            <w:tcW w:w="15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7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2分/次</w:t>
            </w:r>
          </w:p>
        </w:tc>
        <w:tc>
          <w:tcPr>
            <w:tcW w:w="24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130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ESI黑体-GB2312" w:hAnsi="CESI黑体-GB2312" w:eastAsia="CESI黑体-GB2312" w:cs="CESI黑体-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68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未按规定开展隐患排查，隐患排查未建立档案、无记录、无整改措施、无验收报告。</w:t>
            </w:r>
          </w:p>
        </w:tc>
        <w:tc>
          <w:tcPr>
            <w:tcW w:w="15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7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0.5分/项</w:t>
            </w:r>
          </w:p>
        </w:tc>
        <w:tc>
          <w:tcPr>
            <w:tcW w:w="24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5" w:hRule="atLeast"/>
          <w:jc w:val="center"/>
        </w:trPr>
        <w:tc>
          <w:tcPr>
            <w:tcW w:w="130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ESI黑体-GB2312" w:hAnsi="CESI黑体-GB2312" w:eastAsia="CESI黑体-GB2312" w:cs="CESI黑体-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68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未按规定提取安全生产专项基金，或安全生产专项基金使用不到位。</w:t>
            </w:r>
          </w:p>
        </w:tc>
        <w:tc>
          <w:tcPr>
            <w:tcW w:w="15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7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10分</w:t>
            </w:r>
          </w:p>
        </w:tc>
        <w:tc>
          <w:tcPr>
            <w:tcW w:w="24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30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  <w:t>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  <w:t>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  <w:t>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  <w:t>量</w:t>
            </w:r>
          </w:p>
        </w:tc>
        <w:tc>
          <w:tcPr>
            <w:tcW w:w="56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未向社会公布公交服务质量监督投诉电话。</w:t>
            </w:r>
          </w:p>
        </w:tc>
        <w:tc>
          <w:tcPr>
            <w:tcW w:w="153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20分</w:t>
            </w:r>
          </w:p>
        </w:tc>
        <w:tc>
          <w:tcPr>
            <w:tcW w:w="17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1分</w:t>
            </w:r>
          </w:p>
        </w:tc>
        <w:tc>
          <w:tcPr>
            <w:tcW w:w="245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本项目扣分不设上限，直至扣完为止。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30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56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未建立投诉举报制度。</w:t>
            </w:r>
          </w:p>
        </w:tc>
        <w:tc>
          <w:tcPr>
            <w:tcW w:w="15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2分</w:t>
            </w:r>
          </w:p>
        </w:tc>
        <w:tc>
          <w:tcPr>
            <w:tcW w:w="24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30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56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乘客投诉以及处理记录不完整的。</w:t>
            </w:r>
          </w:p>
        </w:tc>
        <w:tc>
          <w:tcPr>
            <w:tcW w:w="15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5分/次</w:t>
            </w:r>
          </w:p>
        </w:tc>
        <w:tc>
          <w:tcPr>
            <w:tcW w:w="24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130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56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乘客投诉后24小时内未回复，或乘客投诉后10日内未作处理。</w:t>
            </w:r>
          </w:p>
        </w:tc>
        <w:tc>
          <w:tcPr>
            <w:tcW w:w="15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1分/次</w:t>
            </w:r>
          </w:p>
        </w:tc>
        <w:tc>
          <w:tcPr>
            <w:tcW w:w="24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30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ESI黑体-GB2312" w:hAnsi="CESI黑体-GB2312" w:eastAsia="CESI黑体-GB2312" w:cs="CESI黑体-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56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车次完成率低于98%，每降1%。</w:t>
            </w:r>
          </w:p>
        </w:tc>
        <w:tc>
          <w:tcPr>
            <w:tcW w:w="15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2分</w:t>
            </w:r>
          </w:p>
        </w:tc>
        <w:tc>
          <w:tcPr>
            <w:tcW w:w="24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  <w:jc w:val="center"/>
        </w:trPr>
        <w:tc>
          <w:tcPr>
            <w:tcW w:w="130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ESI黑体-GB2312" w:hAnsi="CESI黑体-GB2312" w:eastAsia="CESI黑体-GB2312" w:cs="CESI黑体-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56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由于服务质量问题，被设区市、县级新闻媒体曝光的，或受到设区市、县级有关行政管理部门通报批评的。</w:t>
            </w:r>
          </w:p>
        </w:tc>
        <w:tc>
          <w:tcPr>
            <w:tcW w:w="15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7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2分/次</w:t>
            </w:r>
          </w:p>
        </w:tc>
        <w:tc>
          <w:tcPr>
            <w:tcW w:w="24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130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56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由于服务质量问题，被省级及以上新闻媒体曝光的同，或受到省级及以上有关行政管理部门通报批评的。</w:t>
            </w:r>
          </w:p>
        </w:tc>
        <w:tc>
          <w:tcPr>
            <w:tcW w:w="15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7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3分/次</w:t>
            </w:r>
          </w:p>
        </w:tc>
        <w:tc>
          <w:tcPr>
            <w:tcW w:w="24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  <w:jc w:val="center"/>
        </w:trPr>
        <w:tc>
          <w:tcPr>
            <w:tcW w:w="130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56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违反法律法规，组织或引发影响社会公共秩序，损害社会公共利益的停运事件的。</w:t>
            </w:r>
          </w:p>
        </w:tc>
        <w:tc>
          <w:tcPr>
            <w:tcW w:w="15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7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不合格</w:t>
            </w:r>
          </w:p>
        </w:tc>
        <w:tc>
          <w:tcPr>
            <w:tcW w:w="24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130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  <w:t>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  <w:t>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ESI黑体-GB2312" w:hAnsi="CESI黑体-GB2312" w:eastAsia="CESI黑体-GB2312" w:cs="CESI黑体-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CESI黑体-GB2312" w:hAnsi="CESI黑体-GB2312" w:eastAsia="CESI黑体-GB2312" w:cs="CESI黑体-GB2312"/>
                <w:sz w:val="32"/>
                <w:szCs w:val="32"/>
                <w:vertAlign w:val="baseline"/>
                <w:lang w:eastAsia="zh-CN"/>
              </w:rPr>
              <w:t>项</w:t>
            </w:r>
          </w:p>
        </w:tc>
        <w:tc>
          <w:tcPr>
            <w:tcW w:w="68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受到设区市级政府有关部门表彰的。</w:t>
            </w:r>
          </w:p>
        </w:tc>
        <w:tc>
          <w:tcPr>
            <w:tcW w:w="153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10分</w:t>
            </w:r>
          </w:p>
        </w:tc>
        <w:tc>
          <w:tcPr>
            <w:tcW w:w="17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加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5分</w:t>
            </w:r>
          </w:p>
        </w:tc>
        <w:tc>
          <w:tcPr>
            <w:tcW w:w="245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加分不得超过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0分。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130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ESI黑体-GB2312" w:hAnsi="CESI黑体-GB2312" w:eastAsia="CESI黑体-GB2312" w:cs="CESI黑体-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68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受到省级及以上政府有关部门表彰的。</w:t>
            </w:r>
          </w:p>
        </w:tc>
        <w:tc>
          <w:tcPr>
            <w:tcW w:w="15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17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加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10分</w:t>
            </w:r>
          </w:p>
        </w:tc>
        <w:tc>
          <w:tcPr>
            <w:tcW w:w="24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6838" w:h="11906" w:orient="landscape"/>
      <w:pgMar w:top="1701" w:right="1417" w:bottom="1701" w:left="141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Open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Tahoma">
    <w:altName w:val="Droid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微软雅黑">
    <w:altName w:val="方正黑体_GBK"/>
    <w:panose1 w:val="020B0503020204020204"/>
    <w:charset w:val="00"/>
    <w:family w:val="swiss"/>
    <w:pitch w:val="default"/>
    <w:sig w:usb0="00000000" w:usb1="00000000" w:usb2="00000016" w:usb3="00000000" w:csb0="0004001F" w:csb1="00000000"/>
  </w:font>
  <w:font w:name="CESI楷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roid Sans">
    <w:panose1 w:val="020B0606030804020204"/>
    <w:charset w:val="00"/>
    <w:family w:val="auto"/>
    <w:pitch w:val="default"/>
    <w:sig w:usb0="E00002EF" w:usb1="4000205B" w:usb2="00000028" w:usb3="00000000" w:csb0="2000019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ADE754"/>
    <w:rsid w:val="1DFA1C16"/>
    <w:rsid w:val="3D7FDE58"/>
    <w:rsid w:val="4BBF54E4"/>
    <w:rsid w:val="4DADE754"/>
    <w:rsid w:val="4F6B6D7C"/>
    <w:rsid w:val="53FC7461"/>
    <w:rsid w:val="5C925BC4"/>
    <w:rsid w:val="6F7B2D4C"/>
    <w:rsid w:val="707B03A7"/>
    <w:rsid w:val="77BD8779"/>
    <w:rsid w:val="7B5BB006"/>
    <w:rsid w:val="7BCED36F"/>
    <w:rsid w:val="7EAB9743"/>
    <w:rsid w:val="7ED7B6B5"/>
    <w:rsid w:val="9FFBB049"/>
    <w:rsid w:val="BF7E579D"/>
    <w:rsid w:val="BF7FA694"/>
    <w:rsid w:val="EEB76EE1"/>
    <w:rsid w:val="F13F2BF6"/>
    <w:rsid w:val="F77F8D33"/>
    <w:rsid w:val="FAFA4D94"/>
    <w:rsid w:val="FDD1BCD9"/>
    <w:rsid w:val="FF6BE633"/>
    <w:rsid w:val="FF7F9CE1"/>
    <w:rsid w:val="FFEE13CE"/>
    <w:rsid w:val="FFFE4DD1"/>
    <w:rsid w:val="FFFF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9"/>
    <w:qFormat/>
    <w:uiPriority w:val="0"/>
    <w:pPr>
      <w:spacing w:beforeAutospacing="0" w:afterAutospacing="0" w:line="600" w:lineRule="exact"/>
      <w:jc w:val="center"/>
      <w:outlineLvl w:val="0"/>
    </w:pPr>
    <w:rPr>
      <w:rFonts w:hint="eastAsia" w:ascii="宋体" w:hAnsi="宋体" w:eastAsia="方正小标宋简体" w:cs="宋体"/>
      <w:bCs/>
      <w:kern w:val="44"/>
      <w:sz w:val="44"/>
      <w:szCs w:val="48"/>
      <w:lang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List Paragraph"/>
    <w:basedOn w:val="1"/>
    <w:qFormat/>
    <w:uiPriority w:val="0"/>
    <w:pPr>
      <w:widowControl/>
      <w:adjustRightInd w:val="0"/>
      <w:snapToGrid w:val="0"/>
      <w:spacing w:after="200"/>
      <w:ind w:firstLine="420" w:firstLineChars="200"/>
      <w:jc w:val="left"/>
    </w:pPr>
    <w:rPr>
      <w:rFonts w:ascii="Tahoma" w:hAnsi="Tahoma" w:eastAsia="微软雅黑" w:cs="Tahoma"/>
      <w:kern w:val="0"/>
      <w:sz w:val="22"/>
      <w:szCs w:val="2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Char"/>
    <w:link w:val="3"/>
    <w:qFormat/>
    <w:uiPriority w:val="0"/>
    <w:rPr>
      <w:rFonts w:hint="eastAsia" w:ascii="宋体" w:hAnsi="宋体" w:eastAsia="方正小标宋简体" w:cs="宋体"/>
      <w:bCs/>
      <w:kern w:val="44"/>
      <w:sz w:val="44"/>
      <w:szCs w:val="48"/>
      <w:lang w:val="en-US" w:eastAsia="zh-CN" w:bidi="ar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Office_11.8.2.10953_F1E327BC-269C-435d-A152-05C5408002CA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2025-02-24T22:44:00Z</dcterms:created>
  <dc:creator>kylin</dc:creator>
  <cp:lastModifiedBy>kylin</cp:lastModifiedBy>
  <cp:lastPrinted>2025-04-22T11:31:54Z</cp:lastPrinted>
  <dcterms:modified xsi:type="dcterms:W3CDTF">2025-04-22T11:32:17Z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2052-11.8.2.10953</vt:lpwstr>
  </property>
</Properties>
</file>