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6F02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color w:val="000000"/>
          <w:spacing w:val="-11"/>
          <w:kern w:val="0"/>
          <w:sz w:val="44"/>
          <w:szCs w:val="44"/>
          <w:lang w:val="en-US" w:eastAsia="zh-CN"/>
        </w:rPr>
      </w:pPr>
    </w:p>
    <w:p w14:paraId="7917043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color w:val="000000"/>
          <w:spacing w:val="-11"/>
          <w:kern w:val="0"/>
          <w:sz w:val="44"/>
          <w:szCs w:val="44"/>
          <w:lang w:val="en-US" w:eastAsia="zh-CN"/>
        </w:rPr>
      </w:pPr>
      <w:r>
        <w:rPr>
          <w:rFonts w:hint="eastAsia" w:ascii="方正小标宋简体" w:hAnsi="方正小标宋简体" w:eastAsia="方正小标宋简体" w:cs="方正小标宋简体"/>
          <w:b w:val="0"/>
          <w:bCs/>
          <w:color w:val="000000"/>
          <w:spacing w:val="-11"/>
          <w:kern w:val="0"/>
          <w:sz w:val="44"/>
          <w:szCs w:val="44"/>
          <w:lang w:val="en-US" w:eastAsia="zh-CN"/>
        </w:rPr>
        <w:t>《南昌都市圈城际公交服务质量考核办法》的起草说明</w:t>
      </w:r>
    </w:p>
    <w:p w14:paraId="716D383C">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宋体" w:eastAsia="仿宋_GB2312" w:cs="宋体"/>
          <w:color w:val="000000"/>
          <w:kern w:val="0"/>
          <w:sz w:val="32"/>
          <w:szCs w:val="32"/>
        </w:rPr>
      </w:pPr>
    </w:p>
    <w:p w14:paraId="15C15AE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《南昌都市圈城际公交服务质量考核办法》（以下简称：《考核办法》）是由南昌市交通运输局牵头起草，经征求意见反复修改形成了草案。现将有关情况说明如下:</w:t>
      </w:r>
    </w:p>
    <w:p w14:paraId="2951DB7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CESI黑体-GB2312" w:hAnsi="CESI黑体-GB2312" w:eastAsia="CESI黑体-GB2312" w:cs="CESI黑体-GB2312"/>
          <w:sz w:val="32"/>
          <w:szCs w:val="32"/>
          <w:lang w:val="en-US" w:eastAsia="zh-CN"/>
        </w:rPr>
      </w:pPr>
      <w:r>
        <w:rPr>
          <w:rFonts w:hint="eastAsia" w:ascii="CESI黑体-GB2312" w:hAnsi="CESI黑体-GB2312" w:eastAsia="CESI黑体-GB2312" w:cs="CESI黑体-GB2312"/>
          <w:sz w:val="32"/>
          <w:szCs w:val="32"/>
          <w:lang w:val="en-US" w:eastAsia="zh-CN"/>
        </w:rPr>
        <w:t>一、起草背景</w:t>
      </w:r>
    </w:p>
    <w:p w14:paraId="125F8F9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2022年12月30日，我市开通了南昌至共青城、南昌至庐山西海的2条城际公交线路。其中，南昌至共青城线路日均发班50班，票价10元/人，日均客运量达到700人次，节假日可达1400人次；南昌至庐山西海线路日均发班10班，票价20元/人，日均客运量达到200人次，旅游旺季日均客运量达600人次。为进一步满足人民群众出行需求，2023年12月25日，我市开通了南昌至鄱阳的城际公交线路，日均发班40班，票价30元/人，日均客运量达到800人次，节假日可达1500人次。城际公交的开通，使都市圈群众享受到南昌优质的公共资源，促进都市圈从交通融合向全面融合迈进，最大限度发挥省会城市辐射带动作用，全面落实省会引领战略，全力打造具有全国重要影响力的综合交通枢纽。3条城际公交开通以来，已为超过100万名乘客提供了安全、便捷、舒适的出行环境，赢得了广大人民群众的广泛好评。</w:t>
      </w:r>
    </w:p>
    <w:p w14:paraId="63E2E9D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为保障城际公交开得通、留得住、可持续，2025年1月16日，南昌市、九江市、宜春市、上饶市、抚州市人民政府联合印发了</w:t>
      </w:r>
      <w:r>
        <w:rPr>
          <w:rFonts w:hint="eastAsia" w:ascii="仿宋_GB2312" w:hAnsi="仿宋_GB2312" w:eastAsia="仿宋_GB2312" w:cs="仿宋_GB2312"/>
          <w:sz w:val="32"/>
          <w:szCs w:val="32"/>
          <w:lang w:eastAsia="zh-CN"/>
        </w:rPr>
        <w:t>《南昌市都市圈城际公交客运服务成本规制实施标准》（洪府发〔2025〕1号），其中第十七条明确“对城际公交运营企业实行服务质量考核（考核办法由南昌市交通运输局和相关受益方设区市交通运输局另行制定），年度考核结果90分（含90分）以上时，补贴资金全部兑现，90分以下每低1分扣除5%的补贴资金，70分以下不安排补贴资金”。根据《实施标准》有关要求，南昌市交通运输局牵头起草了《考核办法》。</w:t>
      </w:r>
    </w:p>
    <w:p w14:paraId="76F63C0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CESI黑体-GB2312" w:hAnsi="CESI黑体-GB2312" w:eastAsia="CESI黑体-GB2312" w:cs="CESI黑体-GB2312"/>
          <w:sz w:val="32"/>
          <w:szCs w:val="32"/>
          <w:lang w:val="en-US" w:eastAsia="zh-CN"/>
        </w:rPr>
      </w:pPr>
      <w:r>
        <w:rPr>
          <w:rFonts w:hint="eastAsia" w:ascii="CESI黑体-GB2312" w:hAnsi="CESI黑体-GB2312" w:eastAsia="CESI黑体-GB2312" w:cs="CESI黑体-GB2312"/>
          <w:sz w:val="32"/>
          <w:szCs w:val="32"/>
          <w:lang w:val="en-US" w:eastAsia="zh-CN"/>
        </w:rPr>
        <w:t>二、起草过程</w:t>
      </w:r>
    </w:p>
    <w:p w14:paraId="1D25073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2025年4月，南昌市交通运输局</w:t>
      </w:r>
      <w:r>
        <w:rPr>
          <w:rFonts w:hint="eastAsia" w:ascii="仿宋_GB2312" w:hAnsi="仿宋_GB2312" w:eastAsia="仿宋_GB2312" w:cs="仿宋_GB2312"/>
          <w:sz w:val="32"/>
          <w:szCs w:val="32"/>
          <w:lang w:eastAsia="zh-CN"/>
        </w:rPr>
        <w:t>结合江西省交通运输厅《道路运输企业诚信考核标准》起草了《考核办法（征求意见稿）》，并于</w:t>
      </w:r>
      <w:r>
        <w:rPr>
          <w:rFonts w:hint="eastAsia" w:ascii="仿宋_GB2312" w:hAnsi="仿宋_GB2312" w:eastAsia="仿宋_GB2312" w:cs="仿宋_GB2312"/>
          <w:sz w:val="32"/>
          <w:szCs w:val="32"/>
          <w:lang w:val="en-US" w:eastAsia="zh-CN"/>
        </w:rPr>
        <w:t>4月27日至5月26日，通过局网站向社会公开征求意见。</w:t>
      </w:r>
      <w:r>
        <w:rPr>
          <w:rFonts w:hint="eastAsia" w:ascii="仿宋_GB2312" w:hAnsi="仿宋_GB2312" w:eastAsia="仿宋_GB2312" w:cs="仿宋_GB2312"/>
          <w:sz w:val="32"/>
          <w:szCs w:val="32"/>
          <w:lang w:eastAsia="zh-CN"/>
        </w:rPr>
        <w:t>同时征求了省发改委、省财政厅、省交通运输厅，</w:t>
      </w:r>
      <w:r>
        <w:rPr>
          <w:rFonts w:hint="eastAsia" w:ascii="仿宋_GB2312" w:hAnsi="仿宋_GB2312" w:eastAsia="仿宋_GB2312" w:cs="仿宋_GB2312"/>
          <w:sz w:val="32"/>
          <w:szCs w:val="32"/>
          <w:lang w:val="en-US" w:eastAsia="zh-CN"/>
        </w:rPr>
        <w:t>九江市、宜春市、上饶市、抚州市交通运输局以及城际公交运营企业意见，共收到反馈意见3条，均已采纳。在征求意见的基础上，反复修改完善，形成了《考核办法</w:t>
      </w:r>
      <w:bookmarkStart w:id="0" w:name="_GoBack"/>
      <w:r>
        <w:rPr>
          <w:rFonts w:hint="eastAsia" w:ascii="仿宋_GB2312" w:hAnsi="仿宋_GB2312" w:eastAsia="仿宋_GB2312" w:cs="仿宋_GB2312"/>
          <w:sz w:val="32"/>
          <w:szCs w:val="32"/>
          <w:lang w:val="en-US" w:eastAsia="zh-CN"/>
        </w:rPr>
        <w:t>（送审稿）</w:t>
      </w:r>
      <w:bookmarkEnd w:id="0"/>
      <w:r>
        <w:rPr>
          <w:rFonts w:hint="eastAsia" w:ascii="仿宋_GB2312" w:hAnsi="仿宋_GB2312" w:eastAsia="仿宋_GB2312" w:cs="仿宋_GB2312"/>
          <w:sz w:val="32"/>
          <w:szCs w:val="32"/>
          <w:lang w:val="en-US" w:eastAsia="zh-CN"/>
        </w:rPr>
        <w:t>》。</w:t>
      </w:r>
    </w:p>
    <w:p w14:paraId="1FF58FB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CESI黑体-GB2312" w:hAnsi="CESI黑体-GB2312" w:eastAsia="CESI黑体-GB2312" w:cs="CESI黑体-GB2312"/>
          <w:sz w:val="32"/>
          <w:szCs w:val="32"/>
          <w:lang w:val="en-US" w:eastAsia="zh-CN"/>
        </w:rPr>
      </w:pPr>
      <w:r>
        <w:rPr>
          <w:rFonts w:hint="eastAsia" w:ascii="CESI黑体-GB2312" w:hAnsi="CESI黑体-GB2312" w:eastAsia="CESI黑体-GB2312" w:cs="CESI黑体-GB2312"/>
          <w:sz w:val="32"/>
          <w:szCs w:val="32"/>
          <w:lang w:val="en-US" w:eastAsia="zh-CN"/>
        </w:rPr>
        <w:t>三、主要内容</w:t>
      </w:r>
    </w:p>
    <w:p w14:paraId="6ADB96F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lang w:val="en-US" w:eastAsia="zh-CN"/>
        </w:rPr>
      </w:pPr>
      <w:r>
        <w:rPr>
          <w:rFonts w:hint="eastAsia" w:ascii="仿宋_GB2312" w:hAnsi="仿宋_GB2312" w:eastAsia="仿宋_GB2312" w:cs="仿宋_GB2312"/>
          <w:sz w:val="32"/>
          <w:szCs w:val="32"/>
          <w:lang w:val="en-US" w:eastAsia="zh-CN"/>
        </w:rPr>
        <w:t>《考核办法》共十二条，明确了考核的对象、原则、实施单位、考核内容以及考核结果应用，其中考核考核内容包括：企业管理（20分）、经营行为（20分）、安全生产（30分）、服务质量（30分）、加分项（10分）等5个方面。评分标准相关指标及分值主要参考</w:t>
      </w:r>
      <w:r>
        <w:rPr>
          <w:rFonts w:hint="eastAsia" w:ascii="仿宋_GB2312" w:hAnsi="仿宋_GB2312" w:eastAsia="仿宋_GB2312" w:cs="仿宋_GB2312"/>
          <w:sz w:val="32"/>
          <w:szCs w:val="32"/>
          <w:lang w:eastAsia="zh-CN"/>
        </w:rPr>
        <w:t>江西省交通运输厅《道路运输企业诚信考核标准》中班线包车运输企业、城市公共汽(电)车客运企业诚信考核标准</w:t>
      </w:r>
      <w:r>
        <w:rPr>
          <w:rFonts w:hint="eastAsia" w:ascii="仿宋_GB2312" w:hAnsi="仿宋_GB2312" w:eastAsia="仿宋_GB2312" w:cs="仿宋_GB2312"/>
          <w:sz w:val="32"/>
          <w:szCs w:val="32"/>
          <w:lang w:val="en-US" w:eastAsia="zh-CN"/>
        </w:rPr>
        <w:t>相关指标及分值，同时结合城际公交实际设置。</w:t>
      </w:r>
    </w:p>
    <w:p w14:paraId="4A35286D">
      <w:pPr>
        <w:keepNext w:val="0"/>
        <w:keepLines w:val="0"/>
        <w:pageBreakBefore w:val="0"/>
        <w:widowControl w:val="0"/>
        <w:kinsoku/>
        <w:wordWrap/>
        <w:overflowPunct/>
        <w:topLinePunct w:val="0"/>
        <w:autoSpaceDE/>
        <w:autoSpaceDN/>
        <w:bidi w:val="0"/>
        <w:adjustRightInd/>
        <w:snapToGrid/>
        <w:spacing w:line="600" w:lineRule="exact"/>
        <w:ind w:firstLine="6080" w:firstLineChars="1900"/>
        <w:textAlignment w:val="auto"/>
        <w:rPr>
          <w:rFonts w:hint="eastAsia" w:ascii="仿宋_GB2312" w:hAnsi="黑体" w:eastAsia="仿宋_GB2312" w:cs="宋体"/>
          <w:color w:val="000000"/>
          <w:kern w:val="0"/>
          <w:sz w:val="32"/>
          <w:szCs w:val="32"/>
        </w:rPr>
      </w:pPr>
    </w:p>
    <w:p w14:paraId="350D44F0">
      <w:pPr>
        <w:keepNext w:val="0"/>
        <w:keepLines w:val="0"/>
        <w:pageBreakBefore w:val="0"/>
        <w:widowControl w:val="0"/>
        <w:kinsoku/>
        <w:wordWrap/>
        <w:overflowPunct/>
        <w:topLinePunct w:val="0"/>
        <w:autoSpaceDE/>
        <w:autoSpaceDN/>
        <w:bidi w:val="0"/>
        <w:adjustRightInd/>
        <w:snapToGrid/>
        <w:spacing w:line="600" w:lineRule="exact"/>
        <w:ind w:firstLine="6080" w:firstLineChars="1900"/>
        <w:textAlignment w:val="auto"/>
        <w:rPr>
          <w:rFonts w:hint="eastAsia" w:ascii="仿宋_GB2312" w:hAnsi="黑体" w:eastAsia="仿宋_GB2312" w:cs="宋体"/>
          <w:color w:val="000000"/>
          <w:kern w:val="0"/>
          <w:sz w:val="32"/>
          <w:szCs w:val="32"/>
        </w:rPr>
      </w:pPr>
    </w:p>
    <w:p w14:paraId="1BE26AD3">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eastAsia" w:ascii="仿宋_GB2312" w:hAnsi="黑体" w:eastAsia="仿宋_GB2312" w:cs="宋体"/>
          <w:color w:val="000000"/>
          <w:kern w:val="0"/>
          <w:sz w:val="32"/>
          <w:szCs w:val="32"/>
          <w:lang w:eastAsia="zh-CN"/>
        </w:rPr>
      </w:pPr>
      <w:r>
        <w:rPr>
          <w:rFonts w:hint="eastAsia" w:ascii="仿宋_GB2312" w:hAnsi="黑体" w:eastAsia="仿宋_GB2312" w:cs="宋体"/>
          <w:color w:val="000000"/>
          <w:kern w:val="0"/>
          <w:sz w:val="32"/>
          <w:szCs w:val="32"/>
          <w:lang w:eastAsia="zh-CN"/>
        </w:rPr>
        <w:t>南昌市交通运输</w:t>
      </w:r>
      <w:r>
        <w:rPr>
          <w:rFonts w:hint="eastAsia" w:ascii="仿宋_GB2312" w:hAnsi="黑体" w:eastAsia="仿宋_GB2312" w:cs="宋体"/>
          <w:color w:val="000000"/>
          <w:kern w:val="0"/>
          <w:sz w:val="32"/>
          <w:szCs w:val="32"/>
        </w:rPr>
        <w:t>局</w:t>
      </w:r>
      <w:r>
        <w:rPr>
          <w:rFonts w:hint="eastAsia" w:ascii="仿宋_GB2312" w:hAnsi="黑体" w:eastAsia="仿宋_GB2312" w:cs="宋体"/>
          <w:color w:val="000000"/>
          <w:kern w:val="0"/>
          <w:sz w:val="32"/>
          <w:szCs w:val="32"/>
          <w:lang w:eastAsia="zh-CN"/>
        </w:rPr>
        <w:t>运输服务科</w:t>
      </w:r>
    </w:p>
    <w:p w14:paraId="704CC38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r>
        <w:rPr>
          <w:rFonts w:hint="eastAsia" w:ascii="仿宋_GB2312" w:hAnsi="黑体" w:eastAsia="仿宋_GB2312" w:cs="宋体"/>
          <w:color w:val="000000"/>
          <w:kern w:val="0"/>
          <w:sz w:val="32"/>
          <w:szCs w:val="32"/>
        </w:rPr>
        <w:t xml:space="preserve">                         </w:t>
      </w:r>
      <w:r>
        <w:rPr>
          <w:rFonts w:hint="eastAsia" w:ascii="仿宋_GB2312" w:hAnsi="黑体" w:eastAsia="仿宋_GB2312" w:cs="宋体"/>
          <w:color w:val="000000"/>
          <w:kern w:val="0"/>
          <w:sz w:val="32"/>
          <w:szCs w:val="32"/>
          <w:lang w:val="en-US" w:eastAsia="zh-CN"/>
        </w:rPr>
        <w:t xml:space="preserve">     </w:t>
      </w:r>
      <w:r>
        <w:rPr>
          <w:rFonts w:hint="eastAsia" w:ascii="仿宋_GB2312" w:hAnsi="黑体" w:eastAsia="仿宋_GB2312" w:cs="宋体"/>
          <w:color w:val="000000"/>
          <w:kern w:val="0"/>
          <w:sz w:val="32"/>
          <w:szCs w:val="32"/>
        </w:rPr>
        <w:t xml:space="preserve">   202</w:t>
      </w:r>
      <w:r>
        <w:rPr>
          <w:rFonts w:hint="eastAsia" w:ascii="仿宋_GB2312" w:hAnsi="黑体" w:eastAsia="仿宋_GB2312" w:cs="宋体"/>
          <w:color w:val="000000"/>
          <w:kern w:val="0"/>
          <w:sz w:val="32"/>
          <w:szCs w:val="32"/>
          <w:lang w:val="en-US" w:eastAsia="zh-CN"/>
        </w:rPr>
        <w:t>5</w:t>
      </w:r>
      <w:r>
        <w:rPr>
          <w:rFonts w:hint="eastAsia" w:ascii="仿宋_GB2312" w:hAnsi="黑体" w:eastAsia="仿宋_GB2312" w:cs="宋体"/>
          <w:color w:val="000000"/>
          <w:kern w:val="0"/>
          <w:sz w:val="32"/>
          <w:szCs w:val="32"/>
        </w:rPr>
        <w:t>年</w:t>
      </w:r>
      <w:r>
        <w:rPr>
          <w:rFonts w:hint="eastAsia" w:ascii="仿宋_GB2312" w:hAnsi="黑体" w:eastAsia="仿宋_GB2312" w:cs="宋体"/>
          <w:color w:val="000000"/>
          <w:kern w:val="0"/>
          <w:sz w:val="32"/>
          <w:szCs w:val="32"/>
          <w:lang w:val="en-US" w:eastAsia="zh-CN"/>
        </w:rPr>
        <w:t>6</w:t>
      </w:r>
      <w:r>
        <w:rPr>
          <w:rFonts w:hint="eastAsia" w:ascii="仿宋_GB2312" w:hAnsi="黑体" w:eastAsia="仿宋_GB2312" w:cs="宋体"/>
          <w:color w:val="000000"/>
          <w:kern w:val="0"/>
          <w:sz w:val="32"/>
          <w:szCs w:val="32"/>
        </w:rPr>
        <w:t>月</w:t>
      </w:r>
      <w:r>
        <w:rPr>
          <w:rFonts w:hint="eastAsia" w:ascii="仿宋_GB2312" w:hAnsi="黑体" w:eastAsia="仿宋_GB2312" w:cs="宋体"/>
          <w:color w:val="000000"/>
          <w:kern w:val="0"/>
          <w:sz w:val="32"/>
          <w:szCs w:val="32"/>
          <w:lang w:val="en-US" w:eastAsia="zh-CN"/>
        </w:rPr>
        <w:t>3</w:t>
      </w:r>
      <w:r>
        <w:rPr>
          <w:rFonts w:hint="eastAsia" w:ascii="仿宋_GB2312" w:hAnsi="黑体" w:eastAsia="仿宋_GB2312" w:cs="宋体"/>
          <w:color w:val="000000"/>
          <w:kern w:val="0"/>
          <w:sz w:val="32"/>
          <w:szCs w:val="32"/>
        </w:rPr>
        <w:t>日</w:t>
      </w:r>
    </w:p>
    <w:p w14:paraId="7A7D1E8E">
      <w:pPr>
        <w:keepNext w:val="0"/>
        <w:keepLines w:val="0"/>
        <w:pageBreakBefore w:val="0"/>
        <w:widowControl w:val="0"/>
        <w:kinsoku/>
        <w:wordWrap/>
        <w:overflowPunct/>
        <w:topLinePunct w:val="0"/>
        <w:autoSpaceDE/>
        <w:autoSpaceDN/>
        <w:bidi w:val="0"/>
        <w:adjustRightInd/>
        <w:snapToGrid/>
        <w:spacing w:line="600" w:lineRule="exact"/>
        <w:textAlignment w:val="auto"/>
      </w:pPr>
    </w:p>
    <w:sectPr>
      <w:footerReference r:id="rId3" w:type="default"/>
      <w:footerReference r:id="rId4" w:type="even"/>
      <w:pgSz w:w="11906" w:h="16838"/>
      <w:pgMar w:top="1701" w:right="1701" w:bottom="1701" w:left="170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Droid Sans Ethiopic"/>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ESI黑体-GB2312">
    <w:panose1 w:val="02000500000000000000"/>
    <w:charset w:val="86"/>
    <w:family w:val="auto"/>
    <w:pitch w:val="default"/>
    <w:sig w:usb0="800002BF" w:usb1="184F6CF8" w:usb2="00000012" w:usb3="00000000" w:csb0="0004000F" w:csb1="00000000"/>
  </w:font>
  <w:font w:name="方正黑体_GBK">
    <w:panose1 w:val="02000000000000000000"/>
    <w:charset w:val="86"/>
    <w:family w:val="auto"/>
    <w:pitch w:val="default"/>
    <w:sig w:usb0="00000001" w:usb1="08000000" w:usb2="00000000" w:usb3="00000000" w:csb0="00040000" w:csb1="00000000"/>
  </w:font>
  <w:font w:name="Droid Sans Ethiopic">
    <w:panose1 w:val="020B0606030804020204"/>
    <w:charset w:val="00"/>
    <w:family w:val="auto"/>
    <w:pitch w:val="default"/>
    <w:sig w:usb0="00000003" w:usb1="00000000" w:usb2="000008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0588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33F051">
                          <w:pPr>
                            <w:pStyle w:val="5"/>
                            <w:rPr>
                              <w:rStyle w:val="8"/>
                              <w:rFonts w:hint="eastAsia" w:ascii="仿宋_GB2312" w:hAnsi="仿宋_GB2312" w:eastAsia="仿宋_GB2312" w:cs="仿宋_GB2312"/>
                              <w:sz w:val="24"/>
                              <w:szCs w:val="24"/>
                            </w:rPr>
                          </w:pPr>
                          <w:r>
                            <w:rPr>
                              <w:rStyle w:val="8"/>
                              <w:rFonts w:hint="eastAsia" w:ascii="仿宋_GB2312" w:hAnsi="仿宋_GB2312" w:eastAsia="仿宋_GB2312" w:cs="仿宋_GB2312"/>
                              <w:sz w:val="24"/>
                              <w:szCs w:val="24"/>
                            </w:rPr>
                            <w:fldChar w:fldCharType="begin"/>
                          </w:r>
                          <w:r>
                            <w:rPr>
                              <w:rStyle w:val="8"/>
                              <w:rFonts w:hint="eastAsia" w:ascii="仿宋_GB2312" w:hAnsi="仿宋_GB2312" w:eastAsia="仿宋_GB2312" w:cs="仿宋_GB2312"/>
                              <w:sz w:val="24"/>
                              <w:szCs w:val="24"/>
                            </w:rPr>
                            <w:instrText xml:space="preserve">PAGE  </w:instrText>
                          </w:r>
                          <w:r>
                            <w:rPr>
                              <w:rStyle w:val="8"/>
                              <w:rFonts w:hint="eastAsia" w:ascii="仿宋_GB2312" w:hAnsi="仿宋_GB2312" w:eastAsia="仿宋_GB2312" w:cs="仿宋_GB2312"/>
                              <w:sz w:val="24"/>
                              <w:szCs w:val="24"/>
                            </w:rPr>
                            <w:fldChar w:fldCharType="separate"/>
                          </w:r>
                          <w:r>
                            <w:rPr>
                              <w:rStyle w:val="8"/>
                              <w:rFonts w:hint="eastAsia" w:ascii="仿宋_GB2312" w:hAnsi="仿宋_GB2312" w:eastAsia="仿宋_GB2312" w:cs="仿宋_GB2312"/>
                              <w:sz w:val="24"/>
                              <w:szCs w:val="24"/>
                            </w:rPr>
                            <w:t>4</w:t>
                          </w:r>
                          <w:r>
                            <w:rPr>
                              <w:rStyle w:val="8"/>
                              <w:rFonts w:hint="eastAsia" w:ascii="仿宋_GB2312" w:hAnsi="仿宋_GB2312" w:eastAsia="仿宋_GB2312" w:cs="仿宋_GB2312"/>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F33F051">
                    <w:pPr>
                      <w:pStyle w:val="5"/>
                      <w:rPr>
                        <w:rStyle w:val="8"/>
                        <w:rFonts w:hint="eastAsia" w:ascii="仿宋_GB2312" w:hAnsi="仿宋_GB2312" w:eastAsia="仿宋_GB2312" w:cs="仿宋_GB2312"/>
                        <w:sz w:val="24"/>
                        <w:szCs w:val="24"/>
                      </w:rPr>
                    </w:pPr>
                    <w:r>
                      <w:rPr>
                        <w:rStyle w:val="8"/>
                        <w:rFonts w:hint="eastAsia" w:ascii="仿宋_GB2312" w:hAnsi="仿宋_GB2312" w:eastAsia="仿宋_GB2312" w:cs="仿宋_GB2312"/>
                        <w:sz w:val="24"/>
                        <w:szCs w:val="24"/>
                      </w:rPr>
                      <w:fldChar w:fldCharType="begin"/>
                    </w:r>
                    <w:r>
                      <w:rPr>
                        <w:rStyle w:val="8"/>
                        <w:rFonts w:hint="eastAsia" w:ascii="仿宋_GB2312" w:hAnsi="仿宋_GB2312" w:eastAsia="仿宋_GB2312" w:cs="仿宋_GB2312"/>
                        <w:sz w:val="24"/>
                        <w:szCs w:val="24"/>
                      </w:rPr>
                      <w:instrText xml:space="preserve">PAGE  </w:instrText>
                    </w:r>
                    <w:r>
                      <w:rPr>
                        <w:rStyle w:val="8"/>
                        <w:rFonts w:hint="eastAsia" w:ascii="仿宋_GB2312" w:hAnsi="仿宋_GB2312" w:eastAsia="仿宋_GB2312" w:cs="仿宋_GB2312"/>
                        <w:sz w:val="24"/>
                        <w:szCs w:val="24"/>
                      </w:rPr>
                      <w:fldChar w:fldCharType="separate"/>
                    </w:r>
                    <w:r>
                      <w:rPr>
                        <w:rStyle w:val="8"/>
                        <w:rFonts w:hint="eastAsia" w:ascii="仿宋_GB2312" w:hAnsi="仿宋_GB2312" w:eastAsia="仿宋_GB2312" w:cs="仿宋_GB2312"/>
                        <w:sz w:val="24"/>
                        <w:szCs w:val="24"/>
                      </w:rPr>
                      <w:t>4</w:t>
                    </w:r>
                    <w:r>
                      <w:rPr>
                        <w:rStyle w:val="8"/>
                        <w:rFonts w:hint="eastAsia" w:ascii="仿宋_GB2312" w:hAnsi="仿宋_GB2312" w:eastAsia="仿宋_GB2312" w:cs="仿宋_GB2312"/>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758D6">
    <w:pPr>
      <w:pStyle w:val="5"/>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14:paraId="20A1376C">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F2B6A2"/>
    <w:rsid w:val="1EFFD3FC"/>
    <w:rsid w:val="53ED7AD1"/>
    <w:rsid w:val="77BD8779"/>
    <w:rsid w:val="7BF2B6A2"/>
    <w:rsid w:val="7F1DA762"/>
    <w:rsid w:val="CFEFD060"/>
    <w:rsid w:val="DD79C6E8"/>
    <w:rsid w:val="DF5204E8"/>
    <w:rsid w:val="F7BFF728"/>
    <w:rsid w:val="F9EA1B09"/>
    <w:rsid w:val="FAEF6E79"/>
    <w:rsid w:val="FDBF4BA5"/>
    <w:rsid w:val="FFDF9D12"/>
    <w:rsid w:val="FFFF33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link w:val="9"/>
    <w:qFormat/>
    <w:uiPriority w:val="0"/>
    <w:pPr>
      <w:spacing w:beforeAutospacing="0" w:afterAutospacing="0" w:line="600" w:lineRule="exact"/>
      <w:jc w:val="center"/>
      <w:outlineLvl w:val="0"/>
    </w:pPr>
    <w:rPr>
      <w:rFonts w:hint="eastAsia" w:ascii="宋体" w:hAnsi="宋体" w:eastAsia="方正小标宋简体" w:cs="宋体"/>
      <w:bCs/>
      <w:kern w:val="44"/>
      <w:sz w:val="44"/>
      <w:szCs w:val="48"/>
      <w:lang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0"/>
    <w:pPr>
      <w:spacing w:after="120"/>
    </w:pPr>
  </w:style>
  <w:style w:type="paragraph" w:styleId="3">
    <w:name w:val="header"/>
    <w:basedOn w:val="1"/>
    <w:semiHidden/>
    <w:qFormat/>
    <w:uiPriority w:val="99"/>
    <w:pPr>
      <w:pBdr>
        <w:bottom w:val="single" w:color="auto" w:sz="6" w:space="1"/>
      </w:pBdr>
      <w:tabs>
        <w:tab w:val="center" w:pos="4153"/>
        <w:tab w:val="right" w:pos="8306"/>
      </w:tabs>
      <w:snapToGrid w:val="0"/>
      <w:jc w:val="center"/>
    </w:pPr>
    <w:rPr>
      <w:kern w:val="0"/>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character" w:styleId="8">
    <w:name w:val="page number"/>
    <w:basedOn w:val="7"/>
    <w:qFormat/>
    <w:uiPriority w:val="0"/>
  </w:style>
  <w:style w:type="character" w:customStyle="1" w:styleId="9">
    <w:name w:val="标题 1 Char"/>
    <w:link w:val="4"/>
    <w:qFormat/>
    <w:uiPriority w:val="0"/>
    <w:rPr>
      <w:rFonts w:hint="eastAsia" w:ascii="宋体" w:hAnsi="宋体" w:eastAsia="方正小标宋简体" w:cs="宋体"/>
      <w:bCs/>
      <w:kern w:val="44"/>
      <w:sz w:val="44"/>
      <w:szCs w:val="48"/>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2025-06-07T10:59:00Z</dcterms:created>
  <dc:creator>kylin</dc:creator>
  <cp:lastModifiedBy>kylin</cp:lastModifiedBy>
  <dcterms:modified xsi:type="dcterms:W3CDTF">2026-01-28T11:59:21Z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B47FC45849F2D70D998979692947C9EF_42</vt:lpwstr>
  </property>
</Properties>
</file>